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规划用地审批管理工作考核评价办法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为进一步规范规划用地审批管理工作，贯彻落实市委《关于马上就办的八条具体规定》文件精神，根据《舟山市自然资源和规划局关于进一步规范规划用地审批管理的通知》，制订本办法。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本办法适用于各县（区、功能区）自然资源和规划局（分局）。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规划用地审批管理工作考核评价办法遵循</w:t>
      </w:r>
      <w:r>
        <w:rPr>
          <w:rFonts w:hint="eastAsia" w:ascii="仿宋_GB2312" w:hAnsi="仿宋_GB2312" w:eastAsia="仿宋_GB2312" w:cs="仿宋_GB2312"/>
          <w:sz w:val="32"/>
          <w:szCs w:val="32"/>
        </w:rPr>
        <w:t>定性考评与定量考评相结合，日常考评和年终考评相结合，自我考评与督查考评结合的原则。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考核评价内容，详见附件。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考评分为优秀、良好、合格、不合格4个等级。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考评采用评分法，满分为100分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考评得分90分以上为优秀，80分以上90分以下为良好，60分以上80分以下为合格，60分以下为不合格。（以上包括本数，以下不包括本数）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各县（区、功能区）局于每年12月10日前开展规划用地审批管理工作自我考评，并将自评报告和考评指标分解表报送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市局国土空间用途管制处。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各县（区、功能区）局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对自评报告和相关材料的真实性、准确性负责。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市局国土空间用途管制处通过日常审批报件审查、双随机检查、系统抽查和实地检查等手段，对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各县（区、功能区）局规划用地审批管理工作进行综合考核评价，并形成考核评价报告。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本办法自印发之日起施行。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附件：舟山市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国土空间用途管制和规划用地审批管理工作考评指标分解表</w:t>
      </w:r>
    </w:p>
    <w:p>
      <w:pPr>
        <w:pStyle w:val="2"/>
        <w:numPr>
          <w:ilvl w:val="0"/>
          <w:numId w:val="0"/>
        </w:numPr>
        <w:ind w:left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pStyle w:val="2"/>
        <w:numPr>
          <w:ilvl w:val="0"/>
          <w:numId w:val="0"/>
        </w:numPr>
        <w:ind w:leftChars="4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ind w:left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7380"/>
        </w:tabs>
        <w:spacing w:line="500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2"/>
          <w:szCs w:val="22"/>
        </w:rPr>
        <w:t>附件</w:t>
      </w:r>
    </w:p>
    <w:tbl>
      <w:tblPr>
        <w:tblStyle w:val="6"/>
        <w:tblW w:w="149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4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舟山市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国土空间用途管制和规划用地审批管理工作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考评指标分解表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考评单位：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被考评单位：                                                                  考评日期：</w:t>
            </w:r>
          </w:p>
        </w:tc>
      </w:tr>
    </w:tbl>
    <w:tbl>
      <w:tblPr>
        <w:tblStyle w:val="7"/>
        <w:tblW w:w="14955" w:type="dxa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56"/>
        <w:gridCol w:w="4875"/>
        <w:gridCol w:w="3735"/>
        <w:gridCol w:w="1080"/>
        <w:gridCol w:w="114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6031" w:type="dxa"/>
            <w:gridSpan w:val="2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考核内容及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值</w:t>
            </w:r>
          </w:p>
        </w:tc>
        <w:tc>
          <w:tcPr>
            <w:tcW w:w="373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考评方式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自评得分</w:t>
            </w:r>
          </w:p>
        </w:tc>
        <w:tc>
          <w:tcPr>
            <w:tcW w:w="114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考评得分</w:t>
            </w:r>
          </w:p>
        </w:tc>
        <w:tc>
          <w:tcPr>
            <w:tcW w:w="1979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0" w:type="dxa"/>
            <w:vMerge w:val="restart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6" w:type="dxa"/>
            <w:vMerge w:val="restart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制度建设（15分）</w:t>
            </w:r>
          </w:p>
        </w:tc>
        <w:tc>
          <w:tcPr>
            <w:tcW w:w="487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1、规划用地审批工作机制建立情况（5分）</w:t>
            </w:r>
          </w:p>
        </w:tc>
        <w:tc>
          <w:tcPr>
            <w:tcW w:w="373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未建立工作机制不得分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2、规划用地审批工作机制执行情况（5分）</w:t>
            </w:r>
          </w:p>
        </w:tc>
        <w:tc>
          <w:tcPr>
            <w:tcW w:w="373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发现一次执行不规范扣1分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3、组织开展业务学习培训情况（5分）</w:t>
            </w:r>
          </w:p>
        </w:tc>
        <w:tc>
          <w:tcPr>
            <w:tcW w:w="373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未组织开展学习不得分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990" w:type="dxa"/>
            <w:vMerge w:val="restart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6" w:type="dxa"/>
            <w:vMerge w:val="restart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审批质量（5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487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1、审批依据（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发现一次审批依据不充分扣1分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2、审批程序（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发现一次审批程序不到位扣1分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3、审批效率（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发现一次审批超过承诺时长扣1分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4、许可证核发（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发现一次核发不规范扣1分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5、线上审批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发现一次线下审批扣1分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、上报市局材料（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发现一次材料不完整扣1分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、初审意见（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发现一次初审意见不完整扣1分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、报部备案（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发现一次延迟备案扣1分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90" w:type="dxa"/>
            <w:vMerge w:val="restart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6" w:type="dxa"/>
            <w:vMerge w:val="restart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检查落实（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487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1、“双随机、一公开”检查情况（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未完成检查不得分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2、日常检查落实情况（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未完成检查不得分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3、执法检查质量（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发现一次执法检查不规范扣1分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90" w:type="dxa"/>
            <w:vMerge w:val="restart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6" w:type="dxa"/>
            <w:vMerge w:val="restart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档案管理（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487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档案资料管理规范性（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发现一次资料不规范扣1分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档案资料完整性（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发现一次资料不完整扣1分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90" w:type="dxa"/>
            <w:vMerge w:val="continue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档案资料收集及时性（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3735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发现一次未及时收集资料扣1分</w:t>
            </w:r>
          </w:p>
        </w:tc>
        <w:tc>
          <w:tcPr>
            <w:tcW w:w="108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pStyle w:val="2"/>
        <w:numPr>
          <w:ilvl w:val="0"/>
          <w:numId w:val="0"/>
        </w:num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DDCE7D"/>
    <w:multiLevelType w:val="singleLevel"/>
    <w:tmpl w:val="B2DDCE7D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2U5YTAzNmNhZTY0ODllNjVlM2Q5ZmRhYzk3OGYifQ=="/>
  </w:docVars>
  <w:rsids>
    <w:rsidRoot w:val="58655337"/>
    <w:rsid w:val="0176597C"/>
    <w:rsid w:val="04550780"/>
    <w:rsid w:val="127E0EA0"/>
    <w:rsid w:val="13606F15"/>
    <w:rsid w:val="192D0008"/>
    <w:rsid w:val="1A6C6398"/>
    <w:rsid w:val="1FE047A7"/>
    <w:rsid w:val="26B14385"/>
    <w:rsid w:val="270D1673"/>
    <w:rsid w:val="2A4C0766"/>
    <w:rsid w:val="32D23FF8"/>
    <w:rsid w:val="33373C40"/>
    <w:rsid w:val="38131065"/>
    <w:rsid w:val="3A4D68B5"/>
    <w:rsid w:val="3AEB42DA"/>
    <w:rsid w:val="3CED04E1"/>
    <w:rsid w:val="3D046583"/>
    <w:rsid w:val="420F4A55"/>
    <w:rsid w:val="42D02F63"/>
    <w:rsid w:val="437A41A8"/>
    <w:rsid w:val="45951F22"/>
    <w:rsid w:val="481B226C"/>
    <w:rsid w:val="4BA10CDA"/>
    <w:rsid w:val="4DD24224"/>
    <w:rsid w:val="54FE0F4B"/>
    <w:rsid w:val="57CC49FD"/>
    <w:rsid w:val="58655337"/>
    <w:rsid w:val="5A152C00"/>
    <w:rsid w:val="5A922A48"/>
    <w:rsid w:val="5AA33BB2"/>
    <w:rsid w:val="5B0F1A6F"/>
    <w:rsid w:val="5E04655F"/>
    <w:rsid w:val="625E127B"/>
    <w:rsid w:val="682A79E2"/>
    <w:rsid w:val="69DD7DAF"/>
    <w:rsid w:val="6C1D5D03"/>
    <w:rsid w:val="704D5596"/>
    <w:rsid w:val="712C543B"/>
    <w:rsid w:val="716E20EE"/>
    <w:rsid w:val="7FB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1071</Words>
  <Characters>1085</Characters>
  <Lines>0</Lines>
  <Paragraphs>0</Paragraphs>
  <TotalTime>4</TotalTime>
  <ScaleCrop>false</ScaleCrop>
  <LinksUpToDate>false</LinksUpToDate>
  <CharactersWithSpaces>1151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2023-03-06T09:04:00Z</dcterms:created>
  <dc:creator>Season</dc:creator>
  <cp:lastModifiedBy>user</cp:lastModifiedBy>
  <cp:lastPrinted>2023-03-13T09:31:00Z</cp:lastPrinted>
  <dcterms:modified xsi:type="dcterms:W3CDTF">2023-04-07T09:57:42Z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CBEDE6B5BDC24DB787F817B4E47B2D4A</vt:lpwstr>
  </property>
</Properties>
</file>